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марта 2014 г. N 125н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НАЦИОНАЛЬНОГО КАЛЕНДАРЯ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ПРОФИЛАКТИЧЕСКИХ ПРИВИВОК И КАЛЕНДАРЯ ПРОФИЛАКТИЧЕСКИХ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ПРИВИВОК ПО ЭПИДЕМИЧЕСКИМ ПОКАЗАНИЯМ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9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1, ст. 25; 2006, N 27, ст. 2879;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43, ст. 5084; N 49, ст. 6070; 2008, N 30, ст. 3616; N 52, ст. 6236; 2009, N 1, ст. 21; N 30, ст. 3739; 2010, N 50, ст. 6599; 2011, N 30, ст. 4590; 2012, N 53, ст. 7589; 2013, N 19, ст. 2331; N 27, ст. 3477;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6165; N 51, ст. 6688) приказываю:</w:t>
      </w:r>
      <w:proofErr w:type="gramEnd"/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национальный календарь профилактических прививок согласно </w:t>
      </w:r>
      <w:hyperlink w:anchor="Par2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календарь профилактических прививок по эпидемическим показаниям согласно </w:t>
      </w:r>
      <w:hyperlink w:anchor="Par13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марта 2014 г. N 125н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НАЦИОНАЛЬНЫЙ КАЛЕНДАРЬ ПРОФИЛАКТИЧЕСКИХ ПРИВИВОК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519"/>
      </w:tblGrid>
      <w:tr w:rsidR="00B034A5" w:rsidTr="00B979D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профилактической прививки</w:t>
            </w:r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Новорожденные </w:t>
            </w:r>
            <w:proofErr w:type="gramStart"/>
            <w:r>
              <w:rPr>
                <w:rFonts w:ascii="Calibri" w:hAnsi="Calibri" w:cs="Calibri"/>
              </w:rPr>
              <w:t>в первые</w:t>
            </w:r>
            <w:proofErr w:type="gramEnd"/>
            <w:r>
              <w:rPr>
                <w:rFonts w:ascii="Calibri" w:hAnsi="Calibri" w:cs="Calibri"/>
              </w:rPr>
              <w:t xml:space="preserve"> 24 часа жизни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Первая вакцинация против вирусного гепатита B </w:t>
            </w:r>
            <w:hyperlink w:anchor="Par8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Новорожденные на 3 - 7 день жизни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Вакцинация против туберкулеза </w:t>
            </w:r>
            <w:hyperlink w:anchor="Par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1 месяц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Вторая вакцинация против вирусного гепатита B </w:t>
            </w:r>
            <w:hyperlink w:anchor="Par8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2 месяца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Третья вакцинация против вирусного гепатита B (группы риска) </w:t>
            </w:r>
            <w:hyperlink w:anchor="Par8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 вакцинация против пневмококковой инфекции</w:t>
            </w:r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3 месяца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 вакцинация против дифтерии, коклюша, столбняка</w:t>
            </w:r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Первая вакцинация против полиомиелита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Первая вакцинация против гемофильной инфекции (группы риска)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4,5 месяцев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Вторая вакцинация против дифтерии, коклюша, столбняка</w:t>
            </w:r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Вторая вакцинация против гемофильной инфекции (группы риска)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Вторая вакцинация против полиомиелита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Вторая вакцинация против пневмококковой инфекции</w:t>
            </w:r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 6 месяцев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Третья вакцинация против дифтерии, коклюша, столбняка</w:t>
            </w:r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Третья вакцинация против вирусного гепатита B </w:t>
            </w:r>
            <w:hyperlink w:anchor="Par8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Третья вакцинация против полиомиелита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Третья вакцинация против гемофильной инфекции (группа риска)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12 месяцев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Вакцинация против кори, краснухи, эпидемического паротита</w:t>
            </w:r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Четвертая вакцинация против вирусного гепатита B (группы риска) </w:t>
            </w:r>
            <w:hyperlink w:anchor="Par8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15 месяцев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Ревакцинация против пневмококковой инфекции</w:t>
            </w:r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18 месяцев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Первая ревакцинация против полиомиелита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 ревакцинация против дифтерии, коклюша, столбняка</w:t>
            </w:r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Ревакцинация против гемофильной инфекции (группы риска)</w:t>
            </w:r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20 месяцев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Вторая ревакцинация против полиомиелита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6 лет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Ревакцинация против кори, краснухи, эпидемического паротита</w:t>
            </w:r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6 - 7 лет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Вторая ревакцинация против дифтерии, столбняка </w:t>
            </w:r>
            <w:hyperlink w:anchor="Par92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Ревакцинация против туберкулеза </w:t>
            </w:r>
            <w:hyperlink w:anchor="Par93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14 лет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Третья ревакцинация против дифтерии, столбняка </w:t>
            </w:r>
            <w:hyperlink w:anchor="Par92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Третья ревакцинация против полиомиелита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 от 18 лет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1 года до 18 лет, взрослые от 18 до 55 лет, не привитые ранее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Вакцинация против вирусного гепатита B </w:t>
            </w:r>
            <w:hyperlink w:anchor="Par94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Вакцинация против краснухи</w:t>
            </w:r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Вакцинация против кори </w:t>
            </w:r>
            <w:hyperlink w:anchor="Par95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</w:tr>
      <w:tr w:rsidR="00B034A5" w:rsidTr="00B979D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</w:t>
            </w:r>
            <w:r>
              <w:rPr>
                <w:rFonts w:ascii="Calibri" w:hAnsi="Calibri" w:cs="Calibri"/>
              </w:rPr>
              <w:lastRenderedPageBreak/>
              <w:t>подлежащие призыву на военную службу;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 с хроническими заболеваниями, в том числе с заболеваниями легких, </w:t>
            </w:r>
            <w:proofErr w:type="gramStart"/>
            <w:r>
              <w:rPr>
                <w:rFonts w:ascii="Calibri" w:hAnsi="Calibri" w:cs="Calibri"/>
              </w:rPr>
              <w:t>сердечно-сосудистыми</w:t>
            </w:r>
            <w:proofErr w:type="gramEnd"/>
            <w:r>
              <w:rPr>
                <w:rFonts w:ascii="Calibri" w:hAnsi="Calibri" w:cs="Calibri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Вакцинация против гриппа</w:t>
            </w:r>
          </w:p>
        </w:tc>
      </w:tr>
    </w:tbl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6"/>
      <w:bookmarkEnd w:id="1"/>
      <w:proofErr w:type="gramStart"/>
      <w:r>
        <w:rPr>
          <w:rFonts w:ascii="Calibri" w:hAnsi="Calibri" w:cs="Calibri"/>
        </w:rPr>
        <w:t>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- в момент начала вакцинации, 2 доза - через месяц после 1</w:t>
      </w:r>
      <w:proofErr w:type="gramEnd"/>
      <w:r>
        <w:rPr>
          <w:rFonts w:ascii="Calibri" w:hAnsi="Calibri" w:cs="Calibri"/>
        </w:rPr>
        <w:t xml:space="preserve"> прививки, 2 доза - через 2 месяца от начала вакцинации, 3 доза - через 12 месяцев от начала вакцинации).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7"/>
      <w:bookmarkEnd w:id="2"/>
      <w:r>
        <w:rPr>
          <w:rFonts w:ascii="Calibri" w:hAnsi="Calibri" w:cs="Calibri"/>
        </w:rP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8"/>
      <w:bookmarkEnd w:id="3"/>
      <w:proofErr w:type="gramStart"/>
      <w:r>
        <w:rPr>
          <w:rFonts w:ascii="Calibri" w:hAnsi="Calibri" w:cs="Calibri"/>
        </w:rPr>
        <w:t xml:space="preserve">&lt;3&gt; Вакцинация проводится детям, относящимся к группам риска (родившимся от матерей - носителей </w:t>
      </w:r>
      <w:proofErr w:type="spellStart"/>
      <w:r>
        <w:rPr>
          <w:rFonts w:ascii="Calibri" w:hAnsi="Calibri" w:cs="Calibri"/>
        </w:rPr>
        <w:t>HBsAg</w:t>
      </w:r>
      <w:proofErr w:type="spellEnd"/>
      <w:r>
        <w:rPr>
          <w:rFonts w:ascii="Calibri" w:hAnsi="Calibri" w:cs="Calibri"/>
        </w:rP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>
        <w:rPr>
          <w:rFonts w:ascii="Calibri" w:hAnsi="Calibri" w:cs="Calibri"/>
        </w:rPr>
        <w:t>HBsAg</w:t>
      </w:r>
      <w:proofErr w:type="spellEnd"/>
      <w:r>
        <w:rPr>
          <w:rFonts w:ascii="Calibri" w:hAnsi="Calibri" w:cs="Calibri"/>
        </w:rPr>
        <w:t xml:space="preserve"> или больной острым вирусным гепатитом B и хроническими вирусными гепатитами).</w:t>
      </w:r>
      <w:proofErr w:type="gramEnd"/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9"/>
      <w:bookmarkEnd w:id="4"/>
      <w:r>
        <w:rPr>
          <w:rFonts w:ascii="Calibri" w:hAnsi="Calibri" w:cs="Calibri"/>
        </w:rPr>
        <w:t>&lt;4&gt; Первая и вторая вакцинации проводятся вакциной для профилактики полиомиелита (инактивированной).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0"/>
      <w:bookmarkEnd w:id="5"/>
      <w:r>
        <w:rPr>
          <w:rFonts w:ascii="Calibri" w:hAnsi="Calibri" w:cs="Calibri"/>
        </w:rPr>
        <w:t xml:space="preserve">&lt;5&gt; Вакцинация проводится детям, относящимся к группам риска (с </w:t>
      </w:r>
      <w:proofErr w:type="spellStart"/>
      <w:r>
        <w:rPr>
          <w:rFonts w:ascii="Calibri" w:hAnsi="Calibri" w:cs="Calibri"/>
        </w:rPr>
        <w:t>иммунодефицитными</w:t>
      </w:r>
      <w:proofErr w:type="spellEnd"/>
      <w:r>
        <w:rPr>
          <w:rFonts w:ascii="Calibri" w:hAnsi="Calibri" w:cs="Calibri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</w:t>
      </w:r>
      <w:proofErr w:type="spellStart"/>
      <w:r>
        <w:rPr>
          <w:rFonts w:ascii="Calibri" w:hAnsi="Calibri" w:cs="Calibri"/>
        </w:rPr>
        <w:t>онкогематологическими</w:t>
      </w:r>
      <w:proofErr w:type="spellEnd"/>
      <w:r>
        <w:rPr>
          <w:rFonts w:ascii="Calibri" w:hAnsi="Calibri" w:cs="Calibri"/>
        </w:rPr>
        <w:t xml:space="preserve"> заболеваниями и/или длительно получающим </w:t>
      </w:r>
      <w:proofErr w:type="spellStart"/>
      <w:r>
        <w:rPr>
          <w:rFonts w:ascii="Calibri" w:hAnsi="Calibri" w:cs="Calibri"/>
        </w:rPr>
        <w:t>иммуносупрессивную</w:t>
      </w:r>
      <w:proofErr w:type="spellEnd"/>
      <w:r>
        <w:rPr>
          <w:rFonts w:ascii="Calibri" w:hAnsi="Calibri" w:cs="Calibri"/>
        </w:rPr>
        <w:t xml:space="preserve"> терапию; детям, рожденным от матерей с ВИЧ-инфекцией; детям с ВИЧ-инфекцией; детям, находящимся в домах ребенка).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&lt;6&gt; Третья вакцинация и последующие ревакцинации против полиомиелита проводятся детям вакциной для профилактики полиомиелита (живой); детям, рожденным от матерей с ВИЧ-инфекцией, детям с ВИЧ-инфекцией, детям, находящимся в домах ребенка - вакциной для профилактики полиомиелита (инактивированной).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&lt;7&gt; Вторая ревакцинация проводится анатоксинами с уменьшенным содержанием антигенов.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&lt;8&gt; Ревакцинация проводится вакциной для профилактики туберкулеза (БЦЖ).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4"/>
      <w:bookmarkEnd w:id="9"/>
      <w:r>
        <w:rPr>
          <w:rFonts w:ascii="Calibri" w:hAnsi="Calibri" w:cs="Calibri"/>
        </w:rPr>
        <w:t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&lt;10&gt; Интервал между первой и второй прививками должен составлять не менее 3 месяцев.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Порядок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гражданам профилактических прививок в рамках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национального календаря профилактических прививок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Вакцинацию осуществляют медицинские работники, прошедшие </w:t>
      </w:r>
      <w:proofErr w:type="gramStart"/>
      <w:r>
        <w:rPr>
          <w:rFonts w:ascii="Calibri" w:hAnsi="Calibri" w:cs="Calibri"/>
        </w:rPr>
        <w:t>обучение по вопросам</w:t>
      </w:r>
      <w:proofErr w:type="gramEnd"/>
      <w:r>
        <w:rPr>
          <w:rFonts w:ascii="Calibri" w:hAnsi="Calibri" w:cs="Calibri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7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</w:t>
      </w:r>
      <w:proofErr w:type="gramEnd"/>
      <w:r>
        <w:rPr>
          <w:rFonts w:ascii="Calibri" w:hAnsi="Calibri" w:cs="Calibri"/>
        </w:rPr>
        <w:t>" &lt;1&gt;.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26, ст. 3442; N 26, ст. 3446; 2013, N 27, ст. 3459; N 27, ст. 3477; N 30, ст. 4038; N 39, ст. 4883; N 48, ст. 6165; N 52, ст. 6951.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rPr>
          <w:rFonts w:ascii="Calibri" w:hAnsi="Calibri" w:cs="Calibri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>
        <w:rPr>
          <w:rFonts w:ascii="Calibri" w:hAnsi="Calibri" w:cs="Calibri"/>
        </w:rPr>
        <w:t>в первые</w:t>
      </w:r>
      <w:proofErr w:type="gramEnd"/>
      <w:r>
        <w:rPr>
          <w:rFonts w:ascii="Calibri" w:hAnsi="Calibri" w:cs="Calibri"/>
        </w:rPr>
        <w:t xml:space="preserve"> 6 месяцев жизни, проводится двукратно с интервалом между прививками не менее 2 месяцев.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Ревакцинация детей против туберкулеза, рожденных от матерей с ВИЧ-инфекцией и получавших </w:t>
      </w:r>
      <w:proofErr w:type="gramStart"/>
      <w:r>
        <w:rPr>
          <w:rFonts w:ascii="Calibri" w:hAnsi="Calibri" w:cs="Calibri"/>
        </w:rPr>
        <w:t>трехэтапную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химиопрофилактику</w:t>
      </w:r>
      <w:proofErr w:type="spellEnd"/>
      <w:r>
        <w:rPr>
          <w:rFonts w:ascii="Calibri" w:hAnsi="Calibri" w:cs="Calibri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</w:t>
      </w:r>
      <w:r>
        <w:rPr>
          <w:rFonts w:ascii="Calibri" w:hAnsi="Calibri" w:cs="Calibri"/>
        </w:rPr>
        <w:lastRenderedPageBreak/>
        <w:t>инфекцией с 1-й и 2-й иммунными категориями (отсутствие иммунодефицита или умеренный иммунодефицит).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проведении вакцинации против гепатита B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марта 2014 г. N 125н</w:t>
      </w:r>
    </w:p>
    <w:p w:rsidR="00B979DF" w:rsidRDefault="00B979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31"/>
      <w:bookmarkEnd w:id="11"/>
      <w:r>
        <w:rPr>
          <w:rFonts w:ascii="Calibri" w:hAnsi="Calibri" w:cs="Calibri"/>
          <w:b/>
          <w:bCs/>
        </w:rPr>
        <w:t>КАЛЕНДАРЬ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ПРОФИЛАКТИЧЕСКИХ ПРИВИВОК ПО ЭПИДЕМИЧЕСКИМ ПОКАЗАНИЯМ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0"/>
        <w:gridCol w:w="6840"/>
      </w:tblGrid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профилактической прививки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граждан, подлежащих обязательной вакцинации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туляремии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rPr>
                <w:rFonts w:ascii="Calibri" w:hAnsi="Calibri" w:cs="Calibri"/>
              </w:rPr>
              <w:t>дератизационные</w:t>
            </w:r>
            <w:proofErr w:type="spellEnd"/>
            <w:proofErr w:type="gramEnd"/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дезинсекционные;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работающие с живыми культурами возбудителя туляремии.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чумы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проживающие на энзоотичных по чуме территориях.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работающие с живыми культурами возбудителя чумы.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бруцеллеза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очагах козье-овечьего типа бруцеллеза лица, выполняющие следующие работы: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убою скота, больного бруцеллезом, заготовке и переработке полученных от него мяса и мясопродуктов.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Животноводы, ветеринарные работники, зоотехники в хозяйствах, энзоотичных по бруцеллезу.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работающие с живыми культурами возбудителя бруцеллеза.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Против сибирской язвы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выполняющие следующие работы: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зооветработники</w:t>
            </w:r>
            <w:proofErr w:type="spellEnd"/>
            <w:r>
              <w:rPr>
                <w:rFonts w:ascii="Calibri" w:hAnsi="Calibri" w:cs="Calibri"/>
              </w:rPr>
              <w:t xml:space="preserve"> и другие лица, профессионально занятые </w:t>
            </w:r>
            <w:proofErr w:type="spellStart"/>
            <w:r>
              <w:rPr>
                <w:rFonts w:ascii="Calibri" w:hAnsi="Calibri" w:cs="Calibri"/>
              </w:rPr>
              <w:t>предубойным</w:t>
            </w:r>
            <w:proofErr w:type="spellEnd"/>
            <w:r>
              <w:rPr>
                <w:rFonts w:ascii="Calibri" w:hAnsi="Calibri" w:cs="Calibri"/>
              </w:rPr>
              <w:t xml:space="preserve"> содержанием скота, а также убоем, снятием шкур и разделкой туш;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сбор, хранение, транспортировка и первичная обработка сырья животного происхождения;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бешенства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целью вакцинируют лиц, имеющих высокий риск заражения бешенством: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работающие с "уличным" вирусом бешенства;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ветеринарные работники; егеря, охотники, лесники;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выполняющие работы по отлову и содержанию животных.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лептоспироза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выполняющие следующие работы: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отлову и содержанию безнадзорных животных.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работающие с живыми культурами возбудителя лептоспироза.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клещевого вирусного энцефалита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rPr>
                <w:rFonts w:ascii="Calibri" w:hAnsi="Calibri" w:cs="Calibri"/>
              </w:rPr>
              <w:t>дератизационные</w:t>
            </w:r>
            <w:proofErr w:type="spellEnd"/>
            <w:r>
              <w:rPr>
                <w:rFonts w:ascii="Calibri" w:hAnsi="Calibri" w:cs="Calibri"/>
              </w:rPr>
              <w:t xml:space="preserve"> и дезинсекционные;</w:t>
            </w:r>
            <w:proofErr w:type="gramEnd"/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работающие с живыми культурами возбудителя клещевого энцефалита.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лихорадки Ку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работающие с живыми культурами возбудителей лихорадки Ку.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желтой лихорадки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выезжающие за пределы Российской Федерации в энзоотичные по желтой лихорадке страны (регионы).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работающие с живыми культурами возбудителя желтой лихорадки.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холеры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выезжающие в неблагополучные по холере страны (регионы).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Против брюшного тифа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работающие с живыми культурами возбудителей брюшного тифа.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на территориях с хроническими водными эпидемиями брюшного тифа.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выезжающие в </w:t>
            </w:r>
            <w:proofErr w:type="spellStart"/>
            <w:r>
              <w:rPr>
                <w:rFonts w:ascii="Calibri" w:hAnsi="Calibri" w:cs="Calibri"/>
              </w:rPr>
              <w:t>гиперэндемичные</w:t>
            </w:r>
            <w:proofErr w:type="spellEnd"/>
            <w:r>
              <w:rPr>
                <w:rFonts w:ascii="Calibri" w:hAnsi="Calibri" w:cs="Calibri"/>
              </w:rPr>
              <w:t xml:space="preserve"> по брюшному тифу страны (регионы).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лица в очагах брюшного тифа по эпидемическим показаниям.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вирусного гепатита 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proofErr w:type="gramEnd"/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выезжающие в неблагополучные страны (регионы), где регистрируется вспышечная заболеваемость гепатитом A. Контактные лица в очагах гепатита A.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 </w:t>
            </w:r>
            <w:proofErr w:type="spellStart"/>
            <w:r>
              <w:rPr>
                <w:rFonts w:ascii="Calibri" w:hAnsi="Calibri" w:cs="Calibri"/>
              </w:rPr>
              <w:t>шигеллезов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медицинских организаций (их структурных подразделений) инфекционного профиля.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занятые в сфере общественного питания и коммунального благоустройства.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>
              <w:rPr>
                <w:rFonts w:ascii="Calibri" w:hAnsi="Calibri" w:cs="Calibri"/>
              </w:rPr>
              <w:t>шигеллезами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менингококковой 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>
              <w:rPr>
                <w:rFonts w:ascii="Calibri" w:hAnsi="Calibri" w:cs="Calibri"/>
              </w:rPr>
              <w:t>серогрупп</w:t>
            </w:r>
            <w:proofErr w:type="spellEnd"/>
            <w:r>
              <w:rPr>
                <w:rFonts w:ascii="Calibri" w:hAnsi="Calibri" w:cs="Calibri"/>
              </w:rPr>
              <w:t xml:space="preserve"> A или C.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>
              <w:rPr>
                <w:rFonts w:ascii="Calibri" w:hAnsi="Calibri" w:cs="Calibri"/>
              </w:rPr>
              <w:t>серогрупп</w:t>
            </w:r>
            <w:proofErr w:type="spellEnd"/>
            <w:r>
              <w:rPr>
                <w:rFonts w:ascii="Calibri" w:hAnsi="Calibri" w:cs="Calibri"/>
              </w:rPr>
              <w:t xml:space="preserve"> A или C.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подлежащие призыву на военную службу.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кори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вирусного гепатита 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дифтерии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Контактные лица из очагов заболевания, не болевшие, не привитые и </w:t>
            </w:r>
            <w:r>
              <w:rPr>
                <w:rFonts w:ascii="Calibri" w:hAnsi="Calibri" w:cs="Calibri"/>
              </w:rPr>
              <w:lastRenderedPageBreak/>
              <w:t>не имеющие сведений о профилактических прививках против дифтерии.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Против эпидемического паротита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полиомиелита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Контактные лица в очагах полиомиелита, в том числе вызванного </w:t>
            </w:r>
            <w:proofErr w:type="gramStart"/>
            <w:r>
              <w:rPr>
                <w:rFonts w:ascii="Calibri" w:hAnsi="Calibri" w:cs="Calibri"/>
              </w:rPr>
              <w:t>диким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полиовирусом</w:t>
            </w:r>
            <w:proofErr w:type="spellEnd"/>
            <w:r>
              <w:rPr>
                <w:rFonts w:ascii="Calibri" w:hAnsi="Calibri" w:cs="Calibri"/>
              </w:rPr>
              <w:t xml:space="preserve"> (или при подозрении на заболевание):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дети с 3 месяцев до 18 лет - однократно;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медицинские работники - однократно;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контактировавшие с </w:t>
            </w:r>
            <w:proofErr w:type="gramStart"/>
            <w:r>
              <w:rPr>
                <w:rFonts w:ascii="Calibri" w:hAnsi="Calibri" w:cs="Calibri"/>
              </w:rPr>
              <w:t>прибывшими</w:t>
            </w:r>
            <w:proofErr w:type="gramEnd"/>
            <w:r>
              <w:rPr>
                <w:rFonts w:ascii="Calibri" w:hAnsi="Calibri" w:cs="Calibri"/>
              </w:rPr>
              <w:t xml:space="preserve"> из эндемичных (неблагополучных) по полиомиелиту стран (регионов), с 3 месяцев жизни без ограничения возраста - однократно;</w:t>
            </w:r>
          </w:p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работающие с живым </w:t>
            </w:r>
            <w:proofErr w:type="spellStart"/>
            <w:r>
              <w:rPr>
                <w:rFonts w:ascii="Calibri" w:hAnsi="Calibri" w:cs="Calibri"/>
              </w:rPr>
              <w:t>полиовирусом</w:t>
            </w:r>
            <w:proofErr w:type="spellEnd"/>
            <w:r>
              <w:rPr>
                <w:rFonts w:ascii="Calibri" w:hAnsi="Calibri" w:cs="Calibri"/>
              </w:rPr>
              <w:t>, с материалами, инфицированными (потенциально инфицированными) диким вирусом полиомиелита, без ограничения возраста - однократно при приеме на работу.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пневмококковой 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от 2 до 5 лет, взрослые из групп риска, включая лиц, подлежащих призыву на военную службу.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 </w:t>
            </w:r>
            <w:proofErr w:type="spellStart"/>
            <w:r>
              <w:rPr>
                <w:rFonts w:ascii="Calibri" w:hAnsi="Calibri" w:cs="Calibri"/>
              </w:rPr>
              <w:t>ротавирусной</w:t>
            </w:r>
            <w:proofErr w:type="spellEnd"/>
            <w:r>
              <w:rPr>
                <w:rFonts w:ascii="Calibri" w:hAnsi="Calibri" w:cs="Calibri"/>
              </w:rPr>
              <w:t xml:space="preserve"> 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>
              <w:rPr>
                <w:rFonts w:ascii="Calibri" w:hAnsi="Calibri" w:cs="Calibri"/>
              </w:rPr>
              <w:t>ротавирусами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ветряной оспы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B034A5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 гемофильной 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5" w:rsidRDefault="00B0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не привитые на первом году жизни против гемофильной инфекции.</w:t>
            </w:r>
          </w:p>
        </w:tc>
      </w:tr>
    </w:tbl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9DF" w:rsidRDefault="00B97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9DF" w:rsidRDefault="00B97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2" w:name="_GoBack"/>
      <w:bookmarkEnd w:id="12"/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Порядок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гражданам профилактических прививок в рамках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календаря профилактических прививок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эпидемическим показаниям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Вакцинацию осуществляют медицинские работники, прошедшие </w:t>
      </w:r>
      <w:proofErr w:type="gramStart"/>
      <w:r>
        <w:rPr>
          <w:rFonts w:ascii="Calibri" w:hAnsi="Calibri" w:cs="Calibri"/>
        </w:rPr>
        <w:t>обучение по вопросам</w:t>
      </w:r>
      <w:proofErr w:type="gramEnd"/>
      <w:r>
        <w:rPr>
          <w:rFonts w:ascii="Calibri" w:hAnsi="Calibri" w:cs="Calibri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Перед проведением профилактической прививки лицу, подлежащему вакцинации, или </w:t>
      </w:r>
      <w:r>
        <w:rPr>
          <w:rFonts w:ascii="Calibri" w:hAnsi="Calibri" w:cs="Calibri"/>
        </w:rPr>
        <w:lastRenderedPageBreak/>
        <w:t xml:space="preserve">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9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Все лица, которым должны проводиться профилактические прививки, предварительно подвергаются осмотру врачом (фельдшером) &lt;*&gt;.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</w:t>
      </w:r>
      <w:proofErr w:type="gramEnd"/>
      <w:r>
        <w:rPr>
          <w:rFonts w:ascii="Calibri" w:hAnsi="Calibri" w:cs="Calibri"/>
        </w:rPr>
        <w:t xml:space="preserve">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Вакцинация против полиомиелита по эпидемическим показаниям проводится оральной полиомиелитной вакциной. Показаниями для проведения вакцинации детей оральной полиомиелитной вакциной по эпидемическим показаниям являются регистрация случая полиомиелита, вызванного диким </w:t>
      </w:r>
      <w:proofErr w:type="spellStart"/>
      <w:r>
        <w:rPr>
          <w:rFonts w:ascii="Calibri" w:hAnsi="Calibri" w:cs="Calibri"/>
        </w:rPr>
        <w:t>полиовирусом</w:t>
      </w:r>
      <w:proofErr w:type="spellEnd"/>
      <w:r>
        <w:rPr>
          <w:rFonts w:ascii="Calibri" w:hAnsi="Calibri" w:cs="Calibri"/>
        </w:rPr>
        <w:t xml:space="preserve">, выделение дикого </w:t>
      </w:r>
      <w:proofErr w:type="spellStart"/>
      <w:r>
        <w:rPr>
          <w:rFonts w:ascii="Calibri" w:hAnsi="Calibri" w:cs="Calibri"/>
        </w:rPr>
        <w:t>полиовируса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биопробах</w:t>
      </w:r>
      <w:proofErr w:type="spellEnd"/>
      <w:r>
        <w:rPr>
          <w:rFonts w:ascii="Calibri" w:hAnsi="Calibri" w:cs="Calibri"/>
        </w:rPr>
        <w:t xml:space="preserve"> человека или из объектов окружающей среды. В этих случаях вакцинация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34A5" w:rsidRDefault="00B0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1B91" w:rsidRDefault="009A1B91"/>
    <w:sectPr w:rsidR="009A1B9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A5"/>
    <w:rsid w:val="00063E7C"/>
    <w:rsid w:val="009A1B91"/>
    <w:rsid w:val="00B034A5"/>
    <w:rsid w:val="00B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43EC00970CE2E26A6F12821113B9063C62FF6C4EF956683E864F55BzA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D43EC00970CE2E26A6F12821113B9063C120F3CFEE956683E864F55BAAB4B5E158A28E042E5843z2n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43EC00970CE2E26A6F12821113B9063C120F4C2EE956683E864F55BAAB4B5E158A28E042E5B40z2n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D43EC00970CE2E26A6F12821113B9063C120F4C2EE956683E864F55BAAB4B5E158A28E042E5B43z2n6G" TargetMode="External"/><Relationship Id="rId10" Type="http://schemas.openxmlformats.org/officeDocument/2006/relationships/hyperlink" Target="consultantplus://offline/ref=1CD43EC00970CE2E26A6F12821113B9063C62FF6C4EF956683E864F55BzA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D43EC00970CE2E26A6F12821113B9063C120F3CFEE956683E864F55BAAB4B5E158A28E042E5843z2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3787</Words>
  <Characters>21592</Characters>
  <Application>Microsoft Office Word</Application>
  <DocSecurity>0</DocSecurity>
  <Lines>179</Lines>
  <Paragraphs>50</Paragraphs>
  <ScaleCrop>false</ScaleCrop>
  <Company>Microsoft</Company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2014-05-20T06:39:00Z</dcterms:created>
  <dcterms:modified xsi:type="dcterms:W3CDTF">2014-07-17T07:36:00Z</dcterms:modified>
</cp:coreProperties>
</file>